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theme/theme1.xml" ContentType="application/vnd.openxmlformats-officedocument.theme+xml"/>
  <Override PartName="/word/media/image1.wmf" ContentType="image/x-wmf"/>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142"/>
        <w:jc w:val="center"/>
        <w:rPr/>
      </w:pPr>
      <w:r>
        <w:rPr/>
        <mc:AlternateContent>
          <mc:Choice Requires="wps">
            <w:drawing>
              <wp:anchor behindDoc="0" distT="635" distB="635" distL="635" distR="635" simplePos="0" locked="0" layoutInCell="1" allowOverlap="1" relativeHeight="2" wp14:anchorId="681E7CF4">
                <wp:simplePos x="0" y="0"/>
                <wp:positionH relativeFrom="column">
                  <wp:posOffset>-97155</wp:posOffset>
                </wp:positionH>
                <wp:positionV relativeFrom="paragraph">
                  <wp:posOffset>668020</wp:posOffset>
                </wp:positionV>
                <wp:extent cx="6515100" cy="571500"/>
                <wp:effectExtent l="635" t="635" r="635" b="635"/>
                <wp:wrapNone/>
                <wp:docPr id="1" name="Поле 4"/>
                <a:graphic xmlns:a="http://schemas.openxmlformats.org/drawingml/2006/main">
                  <a:graphicData uri="http://schemas.microsoft.com/office/word/2010/wordprocessingShape">
                    <wps:wsp>
                      <wps:cNvSpPr/>
                      <wps:spPr>
                        <a:xfrm>
                          <a:off x="0" y="0"/>
                          <a:ext cx="6515280" cy="571680"/>
                        </a:xfrm>
                        <a:prstGeom prst="rect">
                          <a:avLst/>
                        </a:prstGeom>
                        <a:solidFill>
                          <a:srgbClr val="ffffff">
                            <a:alpha val="50000"/>
                          </a:srgbClr>
                        </a:solidFill>
                        <a:ln w="0">
                          <a:solidFill>
                            <a:srgbClr val="ffffff"/>
                          </a:solidFill>
                        </a:ln>
                      </wps:spPr>
                      <wps:style>
                        <a:lnRef idx="0"/>
                        <a:fillRef idx="0"/>
                        <a:effectRef idx="0"/>
                        <a:fontRef idx="minor"/>
                      </wps:style>
                      <wps:txbx>
                        <w:txbxContent>
                          <w:p>
                            <w:pPr>
                              <w:pStyle w:val="Style19"/>
                              <w:spacing w:before="0" w:after="200"/>
                              <w:jc w:val="center"/>
                              <w:rPr>
                                <w:rFonts w:ascii="Times New Roman" w:hAnsi="Times New Roman"/>
                              </w:rPr>
                            </w:pPr>
                            <w:r>
                              <w:rPr>
                                <w:rFonts w:ascii="Times New Roman" w:hAnsi="Times New Roman"/>
                                <w:b/>
                                <w:sz w:val="28"/>
                                <w:szCs w:val="28"/>
                              </w:rPr>
                              <w:t>Буряад Республикын «Хойто-Байгалай аймаг» гэhэн муниципальна байгууламжын захиргаан</w:t>
                            </w:r>
                          </w:p>
                        </w:txbxContent>
                      </wps:txbx>
                      <wps:bodyPr anchor="t" upright="1">
                        <a:noAutofit/>
                      </wps:bodyPr>
                    </wps:wsp>
                  </a:graphicData>
                </a:graphic>
              </wp:anchor>
            </w:drawing>
          </mc:Choice>
          <mc:Fallback>
            <w:pict>
              <v:rect id="shape_0" ID="Поле 4" path="m0,0l-2147483645,0l-2147483645,-2147483646l0,-2147483646xe" fillcolor="white" stroked="t" o:allowincell="f" style="position:absolute;margin-left:-7.65pt;margin-top:52.6pt;width:512.95pt;height:44.95pt;mso-wrap-style:square;v-text-anchor:top" wp14:anchorId="681E7CF4">
                <v:fill o:detectmouseclick="t" type="solid" color2="black" opacity="0.5"/>
                <v:stroke color="white" joinstyle="round" endcap="flat"/>
                <v:textbox>
                  <w:txbxContent>
                    <w:p>
                      <w:pPr>
                        <w:pStyle w:val="Style19"/>
                        <w:spacing w:before="0" w:after="200"/>
                        <w:jc w:val="center"/>
                        <w:rPr>
                          <w:rFonts w:ascii="Times New Roman" w:hAnsi="Times New Roman"/>
                        </w:rPr>
                      </w:pPr>
                      <w:r>
                        <w:rPr>
                          <w:rFonts w:ascii="Times New Roman" w:hAnsi="Times New Roman"/>
                          <w:b/>
                          <w:sz w:val="28"/>
                          <w:szCs w:val="28"/>
                        </w:rPr>
                        <w:t>Буряад Республикын «Хойто-Байгалай аймаг» гэhэн муниципальна байгууламжын захиргаан</w:t>
                      </w:r>
                    </w:p>
                  </w:txbxContent>
                </v:textbox>
                <w10:wrap type="none"/>
              </v:rect>
            </w:pict>
          </mc:Fallback>
        </mc:AlternateContent>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44.25pt;height:51.75pt;mso-wrap-distance-right:0pt" filled="f" o:ole="">
            <v:imagedata r:id="rId3" o:title=""/>
          </v:shape>
          <o:OLEObject Type="Embed" ProgID="CorelDRAW.Graphic.6" ShapeID="ole_rId2" DrawAspect="Content" ObjectID="_1663968661" r:id="rId2"/>
        </w:object>
      </w:r>
    </w:p>
    <w:p>
      <w:pPr>
        <w:pStyle w:val="Normal"/>
        <w:spacing w:before="0" w:after="0"/>
        <w:ind w:left="-142"/>
        <w:rPr/>
      </w:pPr>
      <w:r>
        <w:rPr/>
      </w:r>
    </w:p>
    <w:p>
      <w:pPr>
        <w:pStyle w:val="Normal"/>
        <w:spacing w:before="0" w:after="0"/>
        <w:ind w:left="-142"/>
        <w:rPr/>
      </w:pPr>
      <w:r>
        <w:rPr/>
      </w:r>
    </w:p>
    <w:p>
      <w:pPr>
        <w:pStyle w:val="Normal"/>
        <w:spacing w:before="0" w:after="0"/>
        <w:ind w:left="-142"/>
        <w:rPr/>
      </w:pPr>
      <w:r>
        <w:rPr/>
        <mc:AlternateContent>
          <mc:Choice Requires="wps">
            <w:drawing>
              <wp:anchor behindDoc="0" distT="635" distB="635" distL="635" distR="635" simplePos="0" locked="0" layoutInCell="1" allowOverlap="1" relativeHeight="4" wp14:anchorId="3639E146">
                <wp:simplePos x="0" y="0"/>
                <wp:positionH relativeFrom="column">
                  <wp:posOffset>-97155</wp:posOffset>
                </wp:positionH>
                <wp:positionV relativeFrom="paragraph">
                  <wp:posOffset>80010</wp:posOffset>
                </wp:positionV>
                <wp:extent cx="6606540" cy="520700"/>
                <wp:effectExtent l="635" t="635" r="635" b="635"/>
                <wp:wrapNone/>
                <wp:docPr id="2" name="Поле 3"/>
                <a:graphic xmlns:a="http://schemas.openxmlformats.org/drawingml/2006/main">
                  <a:graphicData uri="http://schemas.microsoft.com/office/word/2010/wordprocessingShape">
                    <wps:wsp>
                      <wps:cNvSpPr/>
                      <wps:spPr>
                        <a:xfrm>
                          <a:off x="0" y="0"/>
                          <a:ext cx="6606720" cy="520560"/>
                        </a:xfrm>
                        <a:prstGeom prst="rect">
                          <a:avLst/>
                        </a:prstGeom>
                        <a:solidFill>
                          <a:srgbClr val="ffffff">
                            <a:alpha val="50000"/>
                          </a:srgbClr>
                        </a:solidFill>
                        <a:ln w="0">
                          <a:solidFill>
                            <a:srgbClr val="ffffff"/>
                          </a:solidFill>
                        </a:ln>
                      </wps:spPr>
                      <wps:style>
                        <a:lnRef idx="0"/>
                        <a:fillRef idx="0"/>
                        <a:effectRef idx="0"/>
                        <a:fontRef idx="minor"/>
                      </wps:style>
                      <wps:txbx>
                        <w:txbxContent>
                          <w:p>
                            <w:pPr>
                              <w:pStyle w:val="Title"/>
                              <w:ind w:hanging="0"/>
                              <w:rPr>
                                <w:i w:val="false"/>
                                <w:i w:val="false"/>
                                <w:sz w:val="28"/>
                                <w:szCs w:val="28"/>
                              </w:rPr>
                            </w:pPr>
                            <w:r>
                              <w:rPr>
                                <w:i w:val="false"/>
                                <w:color w:val="000000"/>
                                <w:sz w:val="28"/>
                                <w:szCs w:val="28"/>
                              </w:rPr>
                              <w:t>Администрация муниципального образования «Северо-Байкальский</w:t>
                            </w:r>
                          </w:p>
                          <w:p>
                            <w:pPr>
                              <w:pStyle w:val="Title"/>
                              <w:ind w:hanging="0"/>
                              <w:rPr>
                                <w:i w:val="false"/>
                                <w:i w:val="false"/>
                                <w:sz w:val="28"/>
                                <w:szCs w:val="28"/>
                              </w:rPr>
                            </w:pPr>
                            <w:r>
                              <w:rPr>
                                <w:i w:val="false"/>
                                <w:color w:val="000000"/>
                                <w:sz w:val="28"/>
                                <w:szCs w:val="28"/>
                              </w:rPr>
                              <w:t>район» Республики Бурятия</w:t>
                            </w:r>
                          </w:p>
                        </w:txbxContent>
                      </wps:txbx>
                      <wps:bodyPr anchor="t" upright="1">
                        <a:noAutofit/>
                      </wps:bodyPr>
                    </wps:wsp>
                  </a:graphicData>
                </a:graphic>
              </wp:anchor>
            </w:drawing>
          </mc:Choice>
          <mc:Fallback>
            <w:pict>
              <v:rect id="shape_0" ID="Поле 3" path="m0,0l-2147483645,0l-2147483645,-2147483646l0,-2147483646xe" fillcolor="white" stroked="t" o:allowincell="f" style="position:absolute;margin-left:-7.65pt;margin-top:6.3pt;width:520.15pt;height:40.95pt;mso-wrap-style:square;v-text-anchor:top" wp14:anchorId="3639E146">
                <v:fill o:detectmouseclick="t" type="solid" color2="black" opacity="0.5"/>
                <v:stroke color="white" joinstyle="round" endcap="flat"/>
                <v:textbox>
                  <w:txbxContent>
                    <w:p>
                      <w:pPr>
                        <w:pStyle w:val="Title"/>
                        <w:ind w:hanging="0"/>
                        <w:rPr>
                          <w:i w:val="false"/>
                          <w:i w:val="false"/>
                          <w:sz w:val="28"/>
                          <w:szCs w:val="28"/>
                        </w:rPr>
                      </w:pPr>
                      <w:r>
                        <w:rPr>
                          <w:i w:val="false"/>
                          <w:color w:val="000000"/>
                          <w:sz w:val="28"/>
                          <w:szCs w:val="28"/>
                        </w:rPr>
                        <w:t>Администрация муниципального образования «Северо-Байкальский</w:t>
                      </w:r>
                    </w:p>
                    <w:p>
                      <w:pPr>
                        <w:pStyle w:val="Title"/>
                        <w:ind w:hanging="0"/>
                        <w:rPr>
                          <w:i w:val="false"/>
                          <w:i w:val="false"/>
                          <w:sz w:val="28"/>
                          <w:szCs w:val="28"/>
                        </w:rPr>
                      </w:pPr>
                      <w:r>
                        <w:rPr>
                          <w:i w:val="false"/>
                          <w:color w:val="000000"/>
                          <w:sz w:val="28"/>
                          <w:szCs w:val="28"/>
                        </w:rPr>
                        <w:t>район» Республики Бурятия</w:t>
                      </w:r>
                    </w:p>
                  </w:txbxContent>
                </v:textbox>
                <w10:wrap type="none"/>
              </v:rect>
            </w:pict>
          </mc:Fallback>
        </mc:AlternateContent>
      </w:r>
    </w:p>
    <w:p>
      <w:pPr>
        <w:pStyle w:val="Normal"/>
        <w:spacing w:before="0" w:after="0"/>
        <w:ind w:left="-142"/>
        <w:rPr/>
      </w:pPr>
      <w:r>
        <w:rPr/>
      </w:r>
    </w:p>
    <w:p>
      <w:pPr>
        <w:pStyle w:val="Normal"/>
        <w:spacing w:before="0" w:after="0"/>
        <w:ind w:left="-142"/>
        <w:rPr/>
      </w:pPr>
      <w:r>
        <w:rPr/>
      </w:r>
    </w:p>
    <w:p>
      <w:pPr>
        <w:pStyle w:val="Normal"/>
        <w:rPr/>
      </w:pPr>
      <w:r>
        <w:rPr/>
        <mc:AlternateContent>
          <mc:Choice Requires="wps">
            <w:drawing>
              <wp:anchor behindDoc="0" distT="19050" distB="19050" distL="19685" distR="19050" simplePos="0" locked="0" layoutInCell="1" allowOverlap="1" relativeHeight="6" wp14:anchorId="1380F57B">
                <wp:simplePos x="0" y="0"/>
                <wp:positionH relativeFrom="column">
                  <wp:posOffset>-97155</wp:posOffset>
                </wp:positionH>
                <wp:positionV relativeFrom="paragraph">
                  <wp:posOffset>116205</wp:posOffset>
                </wp:positionV>
                <wp:extent cx="6629400" cy="635"/>
                <wp:effectExtent l="19685" t="19050" r="19050" b="19050"/>
                <wp:wrapNone/>
                <wp:docPr id="3" name="Прямая соединительная линия 2"/>
                <a:graphic xmlns:a="http://schemas.openxmlformats.org/drawingml/2006/main">
                  <a:graphicData uri="http://schemas.microsoft.com/office/word/2010/wordprocessingShape">
                    <wps:wsp>
                      <wps:cNvSpPr/>
                      <wps:spPr>
                        <a:xfrm>
                          <a:off x="0" y="0"/>
                          <a:ext cx="6629400" cy="720"/>
                        </a:xfrm>
                        <a:prstGeom prst="line">
                          <a:avLst/>
                        </a:prstGeom>
                        <a:ln w="38100">
                          <a:solidFill>
                            <a:srgbClr val="00ffff"/>
                          </a:solidFill>
                          <a:round/>
                        </a:ln>
                      </wps:spPr>
                      <wps:style>
                        <a:lnRef idx="0"/>
                        <a:fillRef idx="0"/>
                        <a:effectRef idx="0"/>
                        <a:fontRef idx="minor"/>
                      </wps:style>
                      <wps:bodyPr/>
                    </wps:wsp>
                  </a:graphicData>
                </a:graphic>
              </wp:anchor>
            </w:drawing>
          </mc:Choice>
          <mc:Fallback>
            <w:pict>
              <v:line id="shape_0" from="-7.65pt,9.15pt" to="514.3pt,9.15pt" ID="Прямая соединительная линия 2" stroked="t" o:allowincell="f" style="position:absolute" wp14:anchorId="1380F57B">
                <v:stroke color="aqua" weight="38160" joinstyle="round" endcap="flat"/>
                <v:fill o:detectmouseclick="t" on="false"/>
                <w10:wrap type="none"/>
              </v:line>
            </w:pict>
          </mc:Fallback>
        </mc:AlternateContent>
        <mc:AlternateContent>
          <mc:Choice Requires="wps">
            <w:drawing>
              <wp:anchor behindDoc="0" distT="19050" distB="19050" distL="19685" distR="19050" simplePos="0" locked="0" layoutInCell="1" allowOverlap="1" relativeHeight="7" wp14:anchorId="638FD913">
                <wp:simplePos x="0" y="0"/>
                <wp:positionH relativeFrom="column">
                  <wp:posOffset>-97155</wp:posOffset>
                </wp:positionH>
                <wp:positionV relativeFrom="paragraph">
                  <wp:posOffset>27305</wp:posOffset>
                </wp:positionV>
                <wp:extent cx="6629400" cy="635"/>
                <wp:effectExtent l="19685" t="19050" r="19050" b="19050"/>
                <wp:wrapNone/>
                <wp:docPr id="4" name="Прямая соединительная линия 1"/>
                <a:graphic xmlns:a="http://schemas.openxmlformats.org/drawingml/2006/main">
                  <a:graphicData uri="http://schemas.microsoft.com/office/word/2010/wordprocessingShape">
                    <wps:wsp>
                      <wps:cNvSpPr/>
                      <wps:spPr>
                        <a:xfrm>
                          <a:off x="0" y="0"/>
                          <a:ext cx="6629400" cy="720"/>
                        </a:xfrm>
                        <a:prstGeom prst="line">
                          <a:avLst/>
                        </a:prstGeom>
                        <a:ln w="38100">
                          <a:solidFill>
                            <a:srgbClr val="ffff00"/>
                          </a:solidFill>
                          <a:round/>
                        </a:ln>
                      </wps:spPr>
                      <wps:style>
                        <a:lnRef idx="0"/>
                        <a:fillRef idx="0"/>
                        <a:effectRef idx="0"/>
                        <a:fontRef idx="minor"/>
                      </wps:style>
                      <wps:bodyPr/>
                    </wps:wsp>
                  </a:graphicData>
                </a:graphic>
              </wp:anchor>
            </w:drawing>
          </mc:Choice>
          <mc:Fallback>
            <w:pict>
              <v:line id="shape_0" from="-7.65pt,2.15pt" to="514.3pt,2.15pt" ID="Прямая соединительная линия 1" stroked="t" o:allowincell="f" style="position:absolute" wp14:anchorId="638FD913">
                <v:stroke color="yellow" weight="38160" joinstyle="round" endcap="flat"/>
                <v:fill o:detectmouseclick="t" on="false"/>
                <w10:wrap type="none"/>
              </v:line>
            </w:pict>
          </mc:Fallback>
        </mc:AlternateContent>
      </w:r>
    </w:p>
    <w:p>
      <w:pPr>
        <w:pStyle w:val="Normal"/>
        <w:numPr>
          <w:ilvl w:val="0"/>
          <w:numId w:val="0"/>
        </w:numPr>
        <w:spacing w:before="0" w:after="0"/>
        <w:ind w:hanging="0" w:left="0"/>
        <w:jc w:val="center"/>
        <w:outlineLvl w:val="0"/>
        <w:rPr>
          <w:rFonts w:ascii="Times New Roman" w:hAnsi="Times New Roman" w:cs="Times New Roman"/>
          <w:b/>
          <w:sz w:val="28"/>
          <w:szCs w:val="28"/>
        </w:rPr>
      </w:pPr>
      <w:r>
        <w:rPr>
          <w:rFonts w:cs="Times New Roman" w:ascii="Times New Roman" w:hAnsi="Times New Roman"/>
          <w:b/>
          <w:sz w:val="28"/>
          <w:szCs w:val="28"/>
        </w:rPr>
        <w:t xml:space="preserve">ПОСТАНОВЛЕНИЕ </w:t>
      </w:r>
    </w:p>
    <w:p>
      <w:pPr>
        <w:pStyle w:val="Normal"/>
        <w:spacing w:before="0" w:after="0"/>
        <w:ind w:left="-851"/>
        <w:rPr>
          <w:rFonts w:ascii="Times New Roman" w:hAnsi="Times New Roman" w:cs="Times New Roman"/>
        </w:rPr>
      </w:pPr>
      <w:r>
        <w:rPr>
          <w:rFonts w:cs="Times New Roman" w:ascii="Times New Roman" w:hAnsi="Times New Roman"/>
        </w:rPr>
      </w:r>
    </w:p>
    <w:p>
      <w:pPr>
        <w:pStyle w:val="Normal"/>
        <w:spacing w:before="0" w:after="0"/>
        <w:rPr>
          <w:rFonts w:ascii="Times New Roman" w:hAnsi="Times New Roman" w:cs="Times New Roman"/>
          <w:b/>
          <w:sz w:val="28"/>
          <w:szCs w:val="28"/>
        </w:rPr>
      </w:pPr>
      <w:r>
        <w:rPr>
          <w:rFonts w:cs="Times New Roman" w:ascii="Times New Roman" w:hAnsi="Times New Roman"/>
          <w:b/>
          <w:sz w:val="28"/>
          <w:szCs w:val="28"/>
        </w:rPr>
        <w:t>0</w:t>
      </w:r>
      <w:r>
        <w:rPr>
          <w:rFonts w:cs="Times New Roman" w:ascii="Times New Roman" w:hAnsi="Times New Roman"/>
          <w:b/>
          <w:sz w:val="28"/>
          <w:szCs w:val="28"/>
        </w:rPr>
        <w:t>2</w:t>
      </w:r>
      <w:r>
        <w:rPr>
          <w:rFonts w:cs="Times New Roman" w:ascii="Times New Roman" w:hAnsi="Times New Roman"/>
          <w:b/>
          <w:sz w:val="28"/>
          <w:szCs w:val="28"/>
        </w:rPr>
        <w:t>.0</w:t>
      </w:r>
      <w:r>
        <w:rPr>
          <w:rFonts w:cs="Times New Roman" w:ascii="Times New Roman" w:hAnsi="Times New Roman"/>
          <w:b/>
          <w:sz w:val="28"/>
          <w:szCs w:val="28"/>
        </w:rPr>
        <w:t>7</w:t>
      </w:r>
      <w:r>
        <w:rPr>
          <w:rFonts w:cs="Times New Roman" w:ascii="Times New Roman" w:hAnsi="Times New Roman"/>
          <w:b/>
          <w:sz w:val="28"/>
          <w:szCs w:val="28"/>
        </w:rPr>
        <w:t>.2026г.                                                                                                                  №</w:t>
      </w:r>
      <w:r>
        <w:rPr>
          <w:rFonts w:cs="Times New Roman" w:ascii="Times New Roman" w:hAnsi="Times New Roman"/>
          <w:b/>
          <w:sz w:val="28"/>
          <w:szCs w:val="28"/>
        </w:rPr>
        <w:t>104</w:t>
      </w:r>
    </w:p>
    <w:p>
      <w:pPr>
        <w:pStyle w:val="Normal"/>
        <w:jc w:val="center"/>
        <w:rPr>
          <w:rFonts w:ascii="Times New Roman" w:hAnsi="Times New Roman" w:cs="Times New Roman"/>
          <w:b/>
          <w:sz w:val="28"/>
          <w:szCs w:val="28"/>
        </w:rPr>
      </w:pPr>
      <w:r>
        <w:rPr>
          <w:rFonts w:cs="Times New Roman" w:ascii="Times New Roman" w:hAnsi="Times New Roman"/>
          <w:b/>
          <w:sz w:val="28"/>
          <w:szCs w:val="28"/>
        </w:rPr>
        <w:t>п. Нижнеангарск</w:t>
      </w:r>
    </w:p>
    <w:p>
      <w:pPr>
        <w:pStyle w:val="Normal"/>
        <w:numPr>
          <w:ilvl w:val="0"/>
          <w:numId w:val="0"/>
        </w:numPr>
        <w:spacing w:lineRule="auto" w:line="240" w:before="0" w:after="0"/>
        <w:ind w:hanging="0" w:left="0"/>
        <w:outlineLvl w:val="0"/>
        <w:rPr>
          <w:rFonts w:ascii="Times New Roman" w:hAnsi="Times New Roman" w:cs="Times New Roman"/>
          <w:sz w:val="28"/>
          <w:szCs w:val="28"/>
        </w:rPr>
      </w:pPr>
      <w:r>
        <w:rPr>
          <w:rFonts w:cs="Times New Roman" w:ascii="Times New Roman" w:hAnsi="Times New Roman"/>
          <w:sz w:val="28"/>
          <w:szCs w:val="28"/>
        </w:rPr>
        <w:t xml:space="preserve">О внесении изменений в административный </w:t>
      </w:r>
    </w:p>
    <w:p>
      <w:pPr>
        <w:pStyle w:val="Normal"/>
        <w:numPr>
          <w:ilvl w:val="0"/>
          <w:numId w:val="0"/>
        </w:numPr>
        <w:spacing w:lineRule="auto" w:line="240" w:before="0" w:after="0"/>
        <w:ind w:hanging="0" w:left="0"/>
        <w:outlineLvl w:val="0"/>
        <w:rPr>
          <w:rFonts w:ascii="Times New Roman" w:hAnsi="Times New Roman" w:cs="Times New Roman"/>
          <w:sz w:val="28"/>
          <w:szCs w:val="28"/>
        </w:rPr>
      </w:pPr>
      <w:r>
        <w:rPr>
          <w:rFonts w:cs="Times New Roman" w:ascii="Times New Roman" w:hAnsi="Times New Roman"/>
          <w:sz w:val="28"/>
          <w:szCs w:val="28"/>
        </w:rPr>
        <w:t xml:space="preserve">регламент, утвержденный постановлением </w:t>
      </w:r>
    </w:p>
    <w:p>
      <w:pPr>
        <w:pStyle w:val="Normal"/>
        <w:numPr>
          <w:ilvl w:val="0"/>
          <w:numId w:val="0"/>
        </w:numPr>
        <w:spacing w:lineRule="auto" w:line="240" w:before="0" w:after="0"/>
        <w:ind w:hanging="0" w:left="0"/>
        <w:outlineLvl w:val="0"/>
        <w:rPr>
          <w:rFonts w:ascii="Times New Roman" w:hAnsi="Times New Roman" w:cs="Times New Roman"/>
          <w:sz w:val="28"/>
          <w:szCs w:val="28"/>
        </w:rPr>
      </w:pPr>
      <w:r>
        <w:rPr>
          <w:rFonts w:cs="Times New Roman" w:ascii="Times New Roman" w:hAnsi="Times New Roman"/>
          <w:sz w:val="28"/>
          <w:szCs w:val="28"/>
        </w:rPr>
        <w:t xml:space="preserve">администрации МО «Северо-Байкальский район» </w:t>
      </w:r>
    </w:p>
    <w:p>
      <w:pPr>
        <w:pStyle w:val="Normal"/>
        <w:numPr>
          <w:ilvl w:val="0"/>
          <w:numId w:val="0"/>
        </w:numPr>
        <w:spacing w:lineRule="auto" w:line="240" w:before="0" w:after="0"/>
        <w:ind w:hanging="0" w:left="0"/>
        <w:outlineLvl w:val="0"/>
        <w:rPr>
          <w:rFonts w:ascii="Times New Roman" w:hAnsi="Times New Roman" w:cs="Times New Roman"/>
          <w:sz w:val="28"/>
          <w:szCs w:val="28"/>
        </w:rPr>
      </w:pPr>
      <w:r>
        <w:rPr>
          <w:rFonts w:cs="Times New Roman" w:ascii="Times New Roman" w:hAnsi="Times New Roman"/>
          <w:sz w:val="28"/>
          <w:szCs w:val="28"/>
        </w:rPr>
        <w:t xml:space="preserve">от 05.06.2019 № 146 «Об утверждении </w:t>
      </w:r>
    </w:p>
    <w:p>
      <w:pPr>
        <w:pStyle w:val="Normal"/>
        <w:numPr>
          <w:ilvl w:val="0"/>
          <w:numId w:val="0"/>
        </w:numPr>
        <w:spacing w:lineRule="auto" w:line="240" w:before="0" w:after="0"/>
        <w:ind w:hanging="0" w:left="0"/>
        <w:outlineLvl w:val="0"/>
        <w:rPr>
          <w:rFonts w:ascii="Times New Roman" w:hAnsi="Times New Roman" w:cs="Times New Roman"/>
          <w:sz w:val="28"/>
          <w:szCs w:val="28"/>
        </w:rPr>
      </w:pPr>
      <w:r>
        <w:rPr>
          <w:rFonts w:cs="Times New Roman" w:ascii="Times New Roman" w:hAnsi="Times New Roman"/>
          <w:sz w:val="28"/>
          <w:szCs w:val="28"/>
        </w:rPr>
        <w:t xml:space="preserve">административного регламента </w:t>
      </w:r>
    </w:p>
    <w:p>
      <w:pPr>
        <w:pStyle w:val="Normal"/>
        <w:numPr>
          <w:ilvl w:val="0"/>
          <w:numId w:val="0"/>
        </w:numPr>
        <w:spacing w:lineRule="auto" w:line="240" w:before="0" w:after="0"/>
        <w:ind w:hanging="0" w:left="0"/>
        <w:outlineLvl w:val="0"/>
        <w:rPr>
          <w:rFonts w:ascii="Times New Roman" w:hAnsi="Times New Roman" w:cs="Times New Roman"/>
          <w:sz w:val="28"/>
          <w:szCs w:val="28"/>
        </w:rPr>
      </w:pPr>
      <w:r>
        <w:rPr>
          <w:rFonts w:cs="Times New Roman" w:ascii="Times New Roman" w:hAnsi="Times New Roman"/>
          <w:sz w:val="28"/>
          <w:szCs w:val="28"/>
        </w:rPr>
        <w:t xml:space="preserve">предоставления муниципальной услуги </w:t>
      </w:r>
    </w:p>
    <w:p>
      <w:pPr>
        <w:pStyle w:val="Normal"/>
        <w:numPr>
          <w:ilvl w:val="0"/>
          <w:numId w:val="0"/>
        </w:numPr>
        <w:spacing w:lineRule="auto" w:line="240" w:before="0" w:after="0"/>
        <w:ind w:hanging="0" w:left="0"/>
        <w:outlineLvl w:val="0"/>
        <w:rPr>
          <w:rFonts w:ascii="Times New Roman" w:hAnsi="Times New Roman" w:cs="Times New Roman"/>
          <w:sz w:val="28"/>
          <w:szCs w:val="28"/>
        </w:rPr>
      </w:pPr>
      <w:r>
        <w:rPr>
          <w:rFonts w:cs="Times New Roman" w:ascii="Times New Roman" w:hAnsi="Times New Roman"/>
          <w:sz w:val="28"/>
          <w:szCs w:val="28"/>
        </w:rPr>
        <w:t>«Предоставление разрешения на строительство»</w:t>
      </w:r>
    </w:p>
    <w:p>
      <w:pPr>
        <w:pStyle w:val="ConsPlusNormal"/>
        <w:numPr>
          <w:ilvl w:val="0"/>
          <w:numId w:val="0"/>
        </w:numPr>
        <w:ind w:firstLine="720" w:left="0"/>
        <w:jc w:val="both"/>
        <w:outlineLvl w:val="0"/>
        <w:rPr>
          <w:sz w:val="28"/>
          <w:szCs w:val="28"/>
        </w:rPr>
      </w:pPr>
      <w:r>
        <w:rPr>
          <w:sz w:val="28"/>
          <w:szCs w:val="28"/>
        </w:rPr>
      </w:r>
    </w:p>
    <w:p>
      <w:pPr>
        <w:pStyle w:val="ConsPlusNormal"/>
        <w:ind w:firstLine="539"/>
        <w:jc w:val="both"/>
        <w:rPr>
          <w:rFonts w:ascii="Times New Roman" w:hAnsi="Times New Roman"/>
          <w:sz w:val="28"/>
          <w:szCs w:val="28"/>
        </w:rPr>
      </w:pPr>
      <w:r>
        <w:rPr>
          <w:rFonts w:eastAsia="BatangChe" w:cs="Times New Roman" w:ascii="Times New Roman" w:hAnsi="Times New Roman"/>
          <w:sz w:val="28"/>
          <w:szCs w:val="28"/>
        </w:rPr>
        <w:t>На основании представления Северобайкальской межрайонной прокуратуры от 06.03.2026 № 03-03-2026/338-26, в соответствии с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п о с т а н о в л я ю:</w:t>
      </w:r>
    </w:p>
    <w:p>
      <w:pPr>
        <w:pStyle w:val="Normal"/>
        <w:numPr>
          <w:ilvl w:val="0"/>
          <w:numId w:val="0"/>
        </w:numPr>
        <w:spacing w:lineRule="auto" w:line="240" w:before="0" w:after="0"/>
        <w:ind w:firstLine="539" w:left="0"/>
        <w:jc w:val="both"/>
        <w:outlineLvl w:val="0"/>
        <w:rPr>
          <w:rFonts w:ascii="Times New Roman" w:hAnsi="Times New Roman"/>
          <w:sz w:val="28"/>
          <w:szCs w:val="28"/>
        </w:rPr>
      </w:pPr>
      <w:r>
        <w:rPr>
          <w:rFonts w:cs="Times New Roman" w:ascii="Times New Roman" w:hAnsi="Times New Roman"/>
          <w:spacing w:val="-2"/>
          <w:sz w:val="28"/>
          <w:szCs w:val="28"/>
        </w:rPr>
        <w:t xml:space="preserve">1. Внести в административный регламент, </w:t>
      </w:r>
      <w:r>
        <w:rPr>
          <w:rFonts w:cs="Times New Roman" w:ascii="Times New Roman" w:hAnsi="Times New Roman"/>
          <w:sz w:val="28"/>
          <w:szCs w:val="28"/>
        </w:rPr>
        <w:t>утвержденный постановлением администрации МО «Северо-Байкальский район» от 05.06.2019 № 146 «Об утверждении административного регламента предоставления муниципальной услуги «Предоставление разрешения на строительство» (далее - Регл</w:t>
      </w:r>
      <w:bookmarkStart w:id="0" w:name="_GoBack"/>
      <w:bookmarkEnd w:id="0"/>
      <w:r>
        <w:rPr>
          <w:rFonts w:cs="Times New Roman" w:ascii="Times New Roman" w:hAnsi="Times New Roman"/>
          <w:sz w:val="28"/>
          <w:szCs w:val="28"/>
        </w:rPr>
        <w:t>амент) следующие изменения:</w:t>
      </w:r>
    </w:p>
    <w:p>
      <w:pPr>
        <w:pStyle w:val="ConsPlusNormal"/>
        <w:ind w:firstLine="540"/>
        <w:jc w:val="both"/>
        <w:rPr>
          <w:rFonts w:ascii="Times New Roman" w:hAnsi="Times New Roman"/>
          <w:sz w:val="28"/>
          <w:szCs w:val="28"/>
        </w:rPr>
      </w:pPr>
      <w:r>
        <w:rPr>
          <w:rFonts w:eastAsia="BatangChe" w:cs="Times New Roman" w:ascii="Times New Roman" w:hAnsi="Times New Roman"/>
          <w:sz w:val="28"/>
          <w:szCs w:val="28"/>
        </w:rPr>
        <w:t>1.1. Пункт 2.6. Регламента изложить в следующей редакции:</w:t>
      </w:r>
    </w:p>
    <w:p>
      <w:pPr>
        <w:pStyle w:val="ConsPlusNormal"/>
        <w:ind w:firstLine="540"/>
        <w:jc w:val="both"/>
        <w:rPr>
          <w:rFonts w:ascii="Times New Roman" w:hAnsi="Times New Roman"/>
          <w:sz w:val="28"/>
          <w:szCs w:val="28"/>
        </w:rPr>
      </w:pPr>
      <w:r>
        <w:rPr>
          <w:rFonts w:eastAsia="BatangChe" w:cs="Times New Roman" w:ascii="Times New Roman" w:hAnsi="Times New Roman"/>
          <w:sz w:val="28"/>
          <w:szCs w:val="28"/>
        </w:rPr>
        <w:t>«2.6. Исчерпывающий перечень документов, необхлодимых для получения разрешения на строительство объекта капитального строительства:</w:t>
      </w:r>
    </w:p>
    <w:p>
      <w:pPr>
        <w:pStyle w:val="ConsPlusNormal"/>
        <w:ind w:firstLine="540"/>
        <w:jc w:val="both"/>
        <w:rPr>
          <w:rFonts w:ascii="Times New Roman" w:hAnsi="Times New Roman"/>
          <w:sz w:val="28"/>
          <w:szCs w:val="28"/>
        </w:rPr>
      </w:pPr>
      <w:r>
        <w:rPr>
          <w:rFonts w:eastAsia="BatangChe" w:cs="Times New Roman" w:ascii="Times New Roman" w:hAnsi="Times New Roman"/>
          <w:sz w:val="28"/>
          <w:szCs w:val="28"/>
        </w:rPr>
        <w:t>1) заявление по форме согласно приложению 1 к настоящему Регламенту (форма заявления имеет рекомендательный характер);</w:t>
      </w:r>
    </w:p>
    <w:p>
      <w:pPr>
        <w:pStyle w:val="ConsPlusNormal"/>
        <w:ind w:firstLine="540"/>
        <w:jc w:val="both"/>
        <w:rPr>
          <w:rFonts w:ascii="Times New Roman" w:hAnsi="Times New Roman"/>
          <w:sz w:val="28"/>
          <w:szCs w:val="28"/>
        </w:rPr>
      </w:pPr>
      <w:r>
        <w:rPr>
          <w:rFonts w:eastAsia="BatangChe" w:cs="Times New Roman" w:ascii="Times New Roman" w:hAnsi="Times New Roman"/>
          <w:sz w:val="28"/>
          <w:szCs w:val="28"/>
        </w:rPr>
        <w:t xml:space="preserve">2) </w:t>
      </w:r>
      <w:r>
        <w:rPr>
          <w:rFonts w:eastAsia="BatangChe" w:cs="Times New Roman" w:ascii="Times New Roman" w:hAnsi="Times New Roman"/>
          <w:b w:val="false"/>
          <w:sz w:val="28"/>
          <w:szCs w:val="28"/>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РФ, если иное не установлено частью 7.3 статьи 51 Градостроительного кодекса РФ;</w:t>
      </w:r>
    </w:p>
    <w:p>
      <w:pPr>
        <w:pStyle w:val="ConsPlusNormal"/>
        <w:ind w:firstLine="540"/>
        <w:jc w:val="both"/>
        <w:rPr>
          <w:rFonts w:ascii="Times New Roman" w:hAnsi="Times New Roman"/>
          <w:sz w:val="28"/>
          <w:szCs w:val="28"/>
        </w:rPr>
      </w:pPr>
      <w:r>
        <w:rPr>
          <w:rFonts w:eastAsia="BatangChe" w:cs="Times New Roman" w:ascii="Times New Roman" w:hAnsi="Times New Roman"/>
          <w:b w:val="false"/>
          <w:sz w:val="28"/>
          <w:szCs w:val="28"/>
        </w:rPr>
        <w:t>2.1)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pPr>
        <w:pStyle w:val="ConsPlusNormal"/>
        <w:ind w:firstLine="540"/>
        <w:jc w:val="both"/>
        <w:rPr>
          <w:rFonts w:ascii="Times New Roman" w:hAnsi="Times New Roman"/>
          <w:sz w:val="28"/>
          <w:szCs w:val="28"/>
        </w:rPr>
      </w:pPr>
      <w:r>
        <w:rPr>
          <w:rFonts w:eastAsia="BatangChe" w:cs="Times New Roman" w:ascii="Times New Roman" w:hAnsi="Times New Roman"/>
          <w:b w:val="false"/>
          <w:sz w:val="28"/>
          <w:szCs w:val="28"/>
        </w:rPr>
        <w:t>3)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pPr>
        <w:pStyle w:val="ConsPlusNormal"/>
        <w:ind w:firstLine="540"/>
        <w:jc w:val="both"/>
        <w:rPr>
          <w:rFonts w:ascii="Times New Roman" w:hAnsi="Times New Roman"/>
          <w:sz w:val="28"/>
          <w:szCs w:val="28"/>
        </w:rPr>
      </w:pPr>
      <w:r>
        <w:rPr>
          <w:rFonts w:ascii="Times New Roman" w:hAnsi="Times New Roman"/>
          <w:b w:val="false"/>
          <w:sz w:val="28"/>
          <w:szCs w:val="28"/>
        </w:rPr>
        <w:t>4) результаты инженерных изысканий и следующие материалы, содержащиеся в утвержденной в соответствии с частью 15 статьи 48 градостроительного кодекса РФ проектной документации:</w:t>
      </w:r>
    </w:p>
    <w:p>
      <w:pPr>
        <w:pStyle w:val="ConsPlusNormal"/>
        <w:ind w:firstLine="540"/>
        <w:jc w:val="both"/>
        <w:rPr>
          <w:rFonts w:ascii="Times New Roman" w:hAnsi="Times New Roman"/>
          <w:sz w:val="28"/>
          <w:szCs w:val="28"/>
        </w:rPr>
      </w:pPr>
      <w:r>
        <w:rPr>
          <w:rFonts w:ascii="Times New Roman" w:hAnsi="Times New Roman"/>
          <w:b w:val="false"/>
          <w:sz w:val="28"/>
          <w:szCs w:val="28"/>
        </w:rPr>
        <w:t>а) пояснительная записка;</w:t>
      </w:r>
    </w:p>
    <w:p>
      <w:pPr>
        <w:pStyle w:val="ConsPlusNormal"/>
        <w:ind w:firstLine="540"/>
        <w:jc w:val="both"/>
        <w:rPr>
          <w:rFonts w:ascii="Times New Roman" w:hAnsi="Times New Roman"/>
          <w:sz w:val="28"/>
          <w:szCs w:val="28"/>
        </w:rPr>
      </w:pPr>
      <w:r>
        <w:rPr>
          <w:rFonts w:ascii="Times New Roman" w:hAnsi="Times New Roman"/>
          <w:b w:val="false"/>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ConsPlusNormal"/>
        <w:ind w:firstLine="540"/>
        <w:jc w:val="both"/>
        <w:rPr>
          <w:rFonts w:ascii="Times New Roman" w:hAnsi="Times New Roman"/>
          <w:sz w:val="28"/>
          <w:szCs w:val="28"/>
        </w:rPr>
      </w:pPr>
      <w:r>
        <w:rPr>
          <w:rFonts w:ascii="Times New Roman" w:hAnsi="Times New Roman"/>
          <w:b w:val="false"/>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pPr>
        <w:pStyle w:val="ConsPlusNormal"/>
        <w:ind w:firstLine="540"/>
        <w:jc w:val="both"/>
        <w:rPr>
          <w:rFonts w:ascii="Times New Roman" w:hAnsi="Times New Roman"/>
          <w:sz w:val="28"/>
          <w:szCs w:val="28"/>
        </w:rPr>
      </w:pPr>
      <w:r>
        <w:rPr>
          <w:rFonts w:ascii="Times New Roman" w:hAnsi="Times New Roman"/>
          <w:b w:val="false"/>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ConsPlusNormal"/>
        <w:ind w:firstLine="540"/>
        <w:jc w:val="both"/>
        <w:rPr>
          <w:rFonts w:ascii="Times New Roman" w:hAnsi="Times New Roman"/>
          <w:sz w:val="28"/>
          <w:szCs w:val="28"/>
        </w:rPr>
      </w:pPr>
      <w:r>
        <w:rPr>
          <w:rFonts w:ascii="Times New Roman" w:hAnsi="Times New Roman"/>
          <w:b w:val="false"/>
          <w:sz w:val="28"/>
          <w:szCs w:val="28"/>
        </w:rPr>
        <w:t>5)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РФ), если такая проектная документация подлежит экспертизе в соответствии со статьей 49 Градостроительного кодекса РФ,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РФ,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РФ;</w:t>
      </w:r>
    </w:p>
    <w:p>
      <w:pPr>
        <w:pStyle w:val="ConsPlusNormal"/>
        <w:ind w:firstLine="540"/>
        <w:jc w:val="both"/>
        <w:rPr>
          <w:rFonts w:ascii="Times New Roman" w:hAnsi="Times New Roman"/>
          <w:sz w:val="28"/>
          <w:szCs w:val="28"/>
        </w:rPr>
      </w:pPr>
      <w:r>
        <w:rPr>
          <w:rFonts w:ascii="Times New Roman" w:hAnsi="Times New Roman"/>
          <w:b w:val="false"/>
          <w:sz w:val="28"/>
          <w:szCs w:val="28"/>
        </w:rPr>
        <w:t>5.1) подтверждение соответствия вносимых в проектную документацию изменений требованиям, указанным в части 3.8 статьи 49 Градостроительного кодекса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частью 3.8 статьи 49 Градостроительного кодекса РФ;</w:t>
      </w:r>
    </w:p>
    <w:p>
      <w:pPr>
        <w:pStyle w:val="ConsPlusNormal"/>
        <w:ind w:firstLine="540"/>
        <w:jc w:val="both"/>
        <w:rPr>
          <w:rFonts w:ascii="Times New Roman" w:hAnsi="Times New Roman"/>
          <w:sz w:val="28"/>
          <w:szCs w:val="28"/>
        </w:rPr>
      </w:pPr>
      <w:r>
        <w:rPr>
          <w:rFonts w:ascii="Times New Roman" w:hAnsi="Times New Roman"/>
          <w:b w:val="false"/>
          <w:sz w:val="28"/>
          <w:szCs w:val="28"/>
        </w:rPr>
        <w:t>5.2)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РФ;</w:t>
      </w:r>
    </w:p>
    <w:p>
      <w:pPr>
        <w:pStyle w:val="ConsPlusNormal"/>
        <w:ind w:firstLine="540"/>
        <w:jc w:val="both"/>
        <w:rPr>
          <w:rFonts w:ascii="Times New Roman" w:hAnsi="Times New Roman"/>
          <w:sz w:val="28"/>
          <w:szCs w:val="28"/>
        </w:rPr>
      </w:pPr>
      <w:r>
        <w:rPr>
          <w:rFonts w:ascii="Times New Roman" w:hAnsi="Times New Roman"/>
          <w:b w:val="false"/>
          <w:sz w:val="28"/>
          <w:szCs w:val="28"/>
        </w:rPr>
        <w:t>6)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p>
      <w:pPr>
        <w:pStyle w:val="ConsPlusNormal"/>
        <w:ind w:firstLine="540"/>
        <w:jc w:val="both"/>
        <w:rPr>
          <w:rFonts w:ascii="Times New Roman" w:hAnsi="Times New Roman"/>
          <w:sz w:val="28"/>
          <w:szCs w:val="28"/>
        </w:rPr>
      </w:pPr>
      <w:r>
        <w:rPr>
          <w:rFonts w:ascii="Times New Roman" w:hAnsi="Times New Roman"/>
          <w:b w:val="false"/>
          <w:sz w:val="28"/>
          <w:szCs w:val="28"/>
        </w:rPr>
        <w:t>6.1)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pPr>
        <w:pStyle w:val="ConsPlusNormal"/>
        <w:ind w:firstLine="540"/>
        <w:jc w:val="both"/>
        <w:rPr>
          <w:rFonts w:ascii="Times New Roman" w:hAnsi="Times New Roman"/>
          <w:sz w:val="28"/>
          <w:szCs w:val="28"/>
        </w:rPr>
      </w:pPr>
      <w:r>
        <w:rPr>
          <w:rFonts w:ascii="Times New Roman" w:hAnsi="Times New Roman"/>
          <w:b w:val="false"/>
          <w:sz w:val="28"/>
          <w:szCs w:val="28"/>
        </w:rPr>
        <w:t>7) согласие всех правообладателей объекта капитального строительства в случае реконструкции такого объекта, за исключением указанных в подпункте 7.2) настоящего пункта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pPr>
        <w:pStyle w:val="ConsPlusNormal"/>
        <w:ind w:firstLine="540"/>
        <w:jc w:val="both"/>
        <w:rPr>
          <w:rFonts w:ascii="Times New Roman" w:hAnsi="Times New Roman"/>
          <w:sz w:val="28"/>
          <w:szCs w:val="28"/>
        </w:rPr>
      </w:pPr>
      <w:r>
        <w:rPr>
          <w:rFonts w:ascii="Times New Roman" w:hAnsi="Times New Roman"/>
          <w:b w:val="false"/>
          <w:sz w:val="28"/>
          <w:szCs w:val="28"/>
        </w:rPr>
        <w:t>7.1)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pPr>
        <w:pStyle w:val="ConsPlusNormal"/>
        <w:ind w:firstLine="540"/>
        <w:jc w:val="both"/>
        <w:rPr>
          <w:rFonts w:ascii="Times New Roman" w:hAnsi="Times New Roman"/>
          <w:sz w:val="28"/>
          <w:szCs w:val="28"/>
        </w:rPr>
      </w:pPr>
      <w:r>
        <w:rPr>
          <w:rFonts w:ascii="Times New Roman" w:hAnsi="Times New Roman"/>
          <w:b w:val="false"/>
          <w:sz w:val="28"/>
          <w:szCs w:val="28"/>
        </w:rPr>
        <w:t>7.2)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pPr>
        <w:pStyle w:val="ConsPlusNormal"/>
        <w:ind w:firstLine="540"/>
        <w:jc w:val="both"/>
        <w:rPr>
          <w:rFonts w:ascii="Times New Roman" w:hAnsi="Times New Roman"/>
          <w:sz w:val="28"/>
          <w:szCs w:val="28"/>
        </w:rPr>
      </w:pPr>
      <w:r>
        <w:rPr>
          <w:rFonts w:ascii="Times New Roman" w:hAnsi="Times New Roman"/>
          <w:b w:val="false"/>
          <w:sz w:val="28"/>
          <w:szCs w:val="28"/>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pPr>
        <w:pStyle w:val="ConsPlusNormal"/>
        <w:ind w:firstLine="540"/>
        <w:jc w:val="both"/>
        <w:rPr>
          <w:rFonts w:ascii="Times New Roman" w:hAnsi="Times New Roman"/>
          <w:sz w:val="28"/>
          <w:szCs w:val="28"/>
        </w:rPr>
      </w:pPr>
      <w:r>
        <w:rPr>
          <w:rFonts w:ascii="Times New Roman" w:hAnsi="Times New Roman"/>
          <w:b w:val="false"/>
          <w:sz w:val="28"/>
          <w:szCs w:val="28"/>
        </w:rPr>
        <w:t>9)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ConsPlusNormal"/>
        <w:ind w:firstLine="540"/>
        <w:jc w:val="both"/>
        <w:rPr>
          <w:rFonts w:ascii="Times New Roman" w:hAnsi="Times New Roman"/>
          <w:sz w:val="28"/>
          <w:szCs w:val="28"/>
        </w:rPr>
      </w:pPr>
      <w:r>
        <w:rPr>
          <w:rFonts w:ascii="Times New Roman" w:hAnsi="Times New Roman"/>
          <w:b w:val="false"/>
          <w:sz w:val="28"/>
          <w:szCs w:val="28"/>
        </w:rPr>
        <w:t>10)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pPr>
        <w:pStyle w:val="ConsPlusNormal"/>
        <w:ind w:firstLine="540"/>
        <w:jc w:val="both"/>
        <w:rPr>
          <w:rFonts w:ascii="Times New Roman" w:hAnsi="Times New Roman"/>
          <w:sz w:val="28"/>
          <w:szCs w:val="28"/>
        </w:rPr>
      </w:pPr>
      <w:r>
        <w:rPr>
          <w:rFonts w:ascii="Times New Roman" w:hAnsi="Times New Roman"/>
          <w:b w:val="false"/>
          <w:sz w:val="28"/>
          <w:szCs w:val="28"/>
        </w:rPr>
        <w:t>11)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pPr>
        <w:pStyle w:val="ConsPlusNormal"/>
        <w:ind w:firstLine="540"/>
        <w:jc w:val="both"/>
        <w:rPr>
          <w:rFonts w:ascii="Times New Roman" w:hAnsi="Times New Roman"/>
          <w:sz w:val="28"/>
          <w:szCs w:val="28"/>
        </w:rPr>
      </w:pPr>
      <w:r>
        <w:rPr>
          <w:rFonts w:ascii="Times New Roman" w:hAnsi="Times New Roman"/>
          <w:b w:val="false"/>
          <w:sz w:val="28"/>
          <w:szCs w:val="28"/>
        </w:rPr>
        <w:t>Заявление должнообязательно содержать следующие сведения: фамилию, имя и отчество или полное наименование юридического лица заявителя, почтовый и фактический адрес заявителя, наименование объекта капитального строительства в соответствии с проектной документацией, подпись и расшифровку подписи с указанием должности лица, подписавшего заявление (в отношении юридического лица), согласие на обработку персональных данных.»;</w:t>
      </w:r>
    </w:p>
    <w:p>
      <w:pPr>
        <w:pStyle w:val="ConsPlusNormal"/>
        <w:ind w:firstLine="540"/>
        <w:jc w:val="both"/>
        <w:rPr>
          <w:rFonts w:ascii="Times New Roman" w:hAnsi="Times New Roman"/>
          <w:sz w:val="28"/>
          <w:szCs w:val="28"/>
        </w:rPr>
      </w:pPr>
      <w:r>
        <w:rPr>
          <w:rFonts w:eastAsia="BatangChe" w:cs="Times New Roman" w:ascii="Times New Roman" w:hAnsi="Times New Roman"/>
          <w:sz w:val="28"/>
          <w:szCs w:val="28"/>
        </w:rPr>
        <w:t>1.2. Пункт 2.7. Регламента изложить в следующей редакции:</w:t>
      </w:r>
    </w:p>
    <w:p>
      <w:pPr>
        <w:pStyle w:val="ConsPlusNormal"/>
        <w:ind w:firstLine="540"/>
        <w:jc w:val="both"/>
        <w:rPr>
          <w:rFonts w:ascii="Times New Roman" w:hAnsi="Times New Roman"/>
          <w:sz w:val="28"/>
          <w:szCs w:val="28"/>
        </w:rPr>
      </w:pPr>
      <w:r>
        <w:rPr>
          <w:rFonts w:eastAsia="BatangChe" w:cs="Times New Roman" w:ascii="Times New Roman" w:hAnsi="Times New Roman"/>
          <w:sz w:val="28"/>
          <w:szCs w:val="28"/>
        </w:rPr>
        <w:t>«2.7. Исчерпывающий перечень документов, необходимых для предоставления муниципальной услуги, подлежащих предоставлению в рамках межведомственного информационного взаимодействия и которые заявитель вправе предоставить самостоятельно:</w:t>
      </w:r>
    </w:p>
    <w:p>
      <w:pPr>
        <w:pStyle w:val="ConsPlusNormal"/>
        <w:ind w:firstLine="540"/>
        <w:jc w:val="both"/>
        <w:rPr>
          <w:rFonts w:ascii="Times New Roman" w:hAnsi="Times New Roman"/>
          <w:sz w:val="28"/>
          <w:szCs w:val="28"/>
        </w:rPr>
      </w:pPr>
      <w:r>
        <w:rPr>
          <w:rFonts w:eastAsia="BatangChe" w:cs="Times New Roman" w:ascii="Times New Roman" w:hAnsi="Times New Roman"/>
          <w:b w:val="false"/>
          <w:sz w:val="28"/>
          <w:szCs w:val="28"/>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РФ, если иное не установлено частью 7.3 статьи 51 Градостроительного кодекса РФ;</w:t>
      </w:r>
    </w:p>
    <w:p>
      <w:pPr>
        <w:pStyle w:val="ConsPlusNormal"/>
        <w:ind w:firstLine="540"/>
        <w:jc w:val="both"/>
        <w:rPr>
          <w:rFonts w:ascii="Times New Roman" w:hAnsi="Times New Roman"/>
          <w:sz w:val="28"/>
          <w:szCs w:val="28"/>
        </w:rPr>
      </w:pPr>
      <w:r>
        <w:rPr>
          <w:rFonts w:ascii="Times New Roman" w:hAnsi="Times New Roman"/>
          <w:b w:val="false"/>
          <w:sz w:val="28"/>
          <w:szCs w:val="28"/>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pPr>
        <w:pStyle w:val="ConsPlusNormal"/>
        <w:ind w:firstLine="540"/>
        <w:jc w:val="both"/>
        <w:rPr/>
      </w:pPr>
      <w:r>
        <w:rPr>
          <w:rFonts w:ascii="Times New Roman" w:hAnsi="Times New Roman"/>
          <w:b w:val="false"/>
          <w:sz w:val="28"/>
          <w:szCs w:val="28"/>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pPr>
        <w:pStyle w:val="ConsPlusNormal"/>
        <w:ind w:firstLine="540"/>
        <w:jc w:val="both"/>
        <w:rPr/>
      </w:pPr>
      <w:r>
        <w:rPr>
          <w:rFonts w:ascii="Times New Roman" w:hAnsi="Times New Roman"/>
          <w:b w:val="false"/>
          <w:sz w:val="28"/>
          <w:szCs w:val="28"/>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РФ), если такая проектная документация подлежит экспертизе в соответствии со статьей 49 Градостроительного кодекса РФ,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РФ,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РФ;</w:t>
      </w:r>
    </w:p>
    <w:p>
      <w:pPr>
        <w:pStyle w:val="ConsPlusNormal"/>
        <w:ind w:firstLine="540"/>
        <w:jc w:val="both"/>
        <w:rPr/>
      </w:pPr>
      <w:r>
        <w:rPr>
          <w:rFonts w:ascii="Times New Roman" w:hAnsi="Times New Roman"/>
          <w:b w:val="false"/>
          <w:sz w:val="28"/>
          <w:szCs w:val="28"/>
        </w:rPr>
        <w:t>5) подтверждение соответствия вносимых в проектную документацию изменений требованиям, указанным в части 3.9 статьи 49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РФ;</w:t>
      </w:r>
    </w:p>
    <w:p>
      <w:pPr>
        <w:pStyle w:val="ConsPlusNormal"/>
        <w:ind w:firstLine="540"/>
        <w:jc w:val="both"/>
        <w:rPr/>
      </w:pPr>
      <w:r>
        <w:rPr>
          <w:rFonts w:ascii="Times New Roman" w:hAnsi="Times New Roman"/>
          <w:b w:val="false"/>
          <w:sz w:val="28"/>
          <w:szCs w:val="28"/>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p>
      <w:pPr>
        <w:pStyle w:val="ConsPlusNormal"/>
        <w:ind w:firstLine="540"/>
        <w:jc w:val="both"/>
        <w:rPr/>
      </w:pPr>
      <w:r>
        <w:rPr>
          <w:rFonts w:ascii="Times New Roman" w:hAnsi="Times New Roman"/>
          <w:b w:val="false"/>
          <w:sz w:val="28"/>
          <w:szCs w:val="28"/>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pPr>
        <w:pStyle w:val="ConsPlusNormal"/>
        <w:ind w:firstLine="540"/>
        <w:jc w:val="both"/>
        <w:rPr/>
      </w:pPr>
      <w:r>
        <w:rPr>
          <w:rFonts w:ascii="Times New Roman" w:hAnsi="Times New Roman"/>
          <w:b w:val="false"/>
          <w:sz w:val="28"/>
          <w:szCs w:val="28"/>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ConsPlusNormal"/>
        <w:ind w:firstLine="540"/>
        <w:jc w:val="both"/>
        <w:rPr/>
      </w:pPr>
      <w:r>
        <w:rPr>
          <w:rFonts w:ascii="Times New Roman" w:hAnsi="Times New Roman"/>
          <w:b w:val="false"/>
          <w:sz w:val="28"/>
          <w:szCs w:val="28"/>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pPr>
        <w:pStyle w:val="ConsPlusNormal"/>
        <w:ind w:firstLine="540"/>
        <w:jc w:val="both"/>
        <w:rPr/>
      </w:pPr>
      <w:r>
        <w:rPr>
          <w:rFonts w:eastAsia="BatangChe" w:cs="Times New Roman" w:ascii="Times New Roman" w:hAnsi="Times New Roman"/>
          <w:b w:val="false"/>
          <w:sz w:val="28"/>
          <w:szCs w:val="28"/>
        </w:rPr>
        <w:t>Документы (их копии или сведения, содержащиеся в них) запрашиваются Комитетом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pPr>
        <w:pStyle w:val="ConsPlusNormal"/>
        <w:ind w:firstLine="540"/>
        <w:jc w:val="both"/>
        <w:rPr/>
      </w:pPr>
      <w:r>
        <w:rPr>
          <w:rFonts w:eastAsia="BatangChe" w:cs="Times New Roman" w:ascii="Times New Roman" w:hAnsi="Times New Roman"/>
          <w:b w:val="false"/>
          <w:sz w:val="28"/>
          <w:szCs w:val="28"/>
        </w:rPr>
        <w:t>По межведомственным запросам Комитета,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pPr>
        <w:pStyle w:val="ConsPlusNormal"/>
        <w:ind w:firstLine="540"/>
        <w:jc w:val="both"/>
        <w:rPr/>
      </w:pPr>
      <w:r>
        <w:rPr>
          <w:rFonts w:eastAsia="BatangChe" w:cs="Times New Roman" w:ascii="Times New Roman" w:hAnsi="Times New Roman"/>
          <w:b w:val="false"/>
          <w:sz w:val="28"/>
          <w:szCs w:val="28"/>
        </w:rPr>
        <w:t>Застройщик вправе представить документы, указанные в пункте 2.7 настоящего Регламента, по собственной инициативе.</w:t>
      </w:r>
    </w:p>
    <w:p>
      <w:pPr>
        <w:pStyle w:val="ConsPlusNormal"/>
        <w:ind w:firstLine="540"/>
        <w:jc w:val="both"/>
        <w:rPr/>
      </w:pPr>
      <w:r>
        <w:rPr>
          <w:rFonts w:eastAsia="BatangChe" w:cs="Times New Roman" w:ascii="Times New Roman" w:hAnsi="Times New Roman"/>
          <w:b w:val="false"/>
          <w:sz w:val="28"/>
          <w:szCs w:val="28"/>
        </w:rPr>
        <w:t>Документы и сведения, указанные в подпунктах 4) и 5) пункта 2.6 настоящего Регламента, направляются заявителем в случае, если данные документы (их копии или сведения, содержащиеся в них) отсутствуют в едином государственном реестре заключений,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w:t>
      </w:r>
    </w:p>
    <w:p>
      <w:pPr>
        <w:pStyle w:val="Normal"/>
        <w:numPr>
          <w:ilvl w:val="0"/>
          <w:numId w:val="0"/>
        </w:numPr>
        <w:spacing w:lineRule="auto" w:line="240" w:before="0" w:after="0"/>
        <w:ind w:firstLine="540" w:left="0"/>
        <w:jc w:val="both"/>
        <w:outlineLvl w:val="0"/>
        <w:rPr>
          <w:rFonts w:ascii="Times New Roman" w:hAnsi="Times New Roman"/>
          <w:sz w:val="28"/>
          <w:szCs w:val="28"/>
        </w:rPr>
      </w:pPr>
      <w:r>
        <w:rPr>
          <w:rFonts w:cs="Times New Roman" w:ascii="Times New Roman" w:hAnsi="Times New Roman"/>
          <w:sz w:val="28"/>
          <w:szCs w:val="28"/>
        </w:rPr>
        <w:t xml:space="preserve">2. Контроль за исполнением настоящего постановления </w:t>
      </w:r>
      <w:r>
        <w:rPr>
          <w:rFonts w:cs="Times New Roman" w:ascii="Times New Roman" w:hAnsi="Times New Roman"/>
          <w:sz w:val="28"/>
          <w:szCs w:val="28"/>
        </w:rPr>
        <w:t>оставляю за собой</w:t>
      </w:r>
      <w:r>
        <w:rPr>
          <w:rFonts w:cs="Times New Roman" w:ascii="Times New Roman" w:hAnsi="Times New Roman"/>
          <w:sz w:val="28"/>
          <w:szCs w:val="28"/>
        </w:rPr>
        <w:t>.</w:t>
      </w:r>
    </w:p>
    <w:p>
      <w:pPr>
        <w:pStyle w:val="Normal"/>
        <w:numPr>
          <w:ilvl w:val="0"/>
          <w:numId w:val="0"/>
        </w:numPr>
        <w:spacing w:lineRule="auto" w:line="240" w:before="0" w:after="0"/>
        <w:ind w:firstLine="540" w:left="0"/>
        <w:jc w:val="both"/>
        <w:outlineLvl w:val="0"/>
        <w:rPr>
          <w:rFonts w:ascii="Times New Roman" w:hAnsi="Times New Roman"/>
          <w:sz w:val="28"/>
          <w:szCs w:val="28"/>
        </w:rPr>
      </w:pPr>
      <w:r>
        <w:rPr>
          <w:rFonts w:cs="Times New Roman" w:ascii="Times New Roman" w:hAnsi="Times New Roman"/>
          <w:sz w:val="28"/>
          <w:szCs w:val="28"/>
        </w:rPr>
        <w:t>3. Настоящее постановление вступает в силу после его официального опубликования (обнародования).</w:t>
      </w:r>
    </w:p>
    <w:p>
      <w:pPr>
        <w:pStyle w:val="Normal"/>
        <w:numPr>
          <w:ilvl w:val="0"/>
          <w:numId w:val="0"/>
        </w:numPr>
        <w:spacing w:lineRule="auto" w:line="240" w:before="0" w:after="0"/>
        <w:ind w:hanging="0" w:left="0"/>
        <w:jc w:val="both"/>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sz w:val="28"/>
          <w:szCs w:val="28"/>
        </w:rPr>
      </w:pPr>
      <w:r>
        <w:rPr>
          <w:rFonts w:cs="Times New Roman" w:ascii="Times New Roman" w:hAnsi="Times New Roman"/>
          <w:b/>
          <w:sz w:val="28"/>
          <w:szCs w:val="28"/>
        </w:rPr>
      </w:r>
    </w:p>
    <w:p>
      <w:pPr>
        <w:pStyle w:val="Normal"/>
        <w:numPr>
          <w:ilvl w:val="0"/>
          <w:numId w:val="0"/>
        </w:numPr>
        <w:spacing w:lineRule="auto" w:line="240" w:before="0" w:after="0"/>
        <w:ind w:hanging="0" w:left="0"/>
        <w:outlineLvl w:val="0"/>
        <w:rPr>
          <w:rFonts w:ascii="Times New Roman" w:hAnsi="Times New Roman" w:cs="Times New Roman"/>
          <w:b/>
          <w:sz w:val="28"/>
          <w:szCs w:val="28"/>
        </w:rPr>
      </w:pPr>
      <w:r>
        <w:rPr>
          <w:rFonts w:cs="Times New Roman" w:ascii="Times New Roman" w:hAnsi="Times New Roman"/>
          <w:b/>
          <w:sz w:val="28"/>
          <w:szCs w:val="28"/>
        </w:rPr>
      </w:r>
    </w:p>
    <w:p>
      <w:pPr>
        <w:pStyle w:val="Normal"/>
        <w:numPr>
          <w:ilvl w:val="0"/>
          <w:numId w:val="0"/>
        </w:numPr>
        <w:spacing w:lineRule="auto" w:line="240" w:before="0" w:after="0"/>
        <w:ind w:hanging="0" w:left="0"/>
        <w:outlineLvl w:val="0"/>
        <w:rPr>
          <w:rFonts w:ascii="Times New Roman" w:hAnsi="Times New Roman"/>
          <w:sz w:val="28"/>
          <w:szCs w:val="28"/>
        </w:rPr>
      </w:pPr>
      <w:r>
        <w:rPr>
          <w:rFonts w:cs="Times New Roman" w:ascii="Times New Roman" w:hAnsi="Times New Roman"/>
          <w:b/>
          <w:sz w:val="28"/>
          <w:szCs w:val="28"/>
        </w:rPr>
        <w:t xml:space="preserve">И.о. </w:t>
      </w:r>
      <w:r>
        <w:rPr>
          <w:rFonts w:cs="Times New Roman" w:ascii="Times New Roman" w:hAnsi="Times New Roman"/>
          <w:b/>
          <w:sz w:val="28"/>
          <w:szCs w:val="28"/>
        </w:rPr>
        <w:t>Руководител</w:t>
      </w:r>
      <w:r>
        <w:rPr>
          <w:rFonts w:cs="Times New Roman" w:ascii="Times New Roman" w:hAnsi="Times New Roman"/>
          <w:b/>
          <w:sz w:val="28"/>
          <w:szCs w:val="28"/>
        </w:rPr>
        <w:t>я</w:t>
      </w:r>
      <w:r>
        <w:rPr>
          <w:rFonts w:cs="Times New Roman" w:ascii="Times New Roman" w:hAnsi="Times New Roman"/>
          <w:b/>
          <w:sz w:val="28"/>
          <w:szCs w:val="28"/>
        </w:rPr>
        <w:t xml:space="preserve">                                                                               </w:t>
      </w:r>
      <w:r>
        <w:rPr>
          <w:rFonts w:cs="Times New Roman" w:ascii="Times New Roman" w:hAnsi="Times New Roman"/>
          <w:b/>
          <w:sz w:val="28"/>
          <w:szCs w:val="28"/>
        </w:rPr>
        <w:t>А.Ю. Федорченко</w:t>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cs="Times New Roman"/>
          <w:b/>
          <w:color w:val="FF0000"/>
          <w:sz w:val="28"/>
          <w:szCs w:val="28"/>
        </w:rPr>
      </w:pPr>
      <w:r>
        <w:rPr>
          <w:rFonts w:cs="Times New Roman" w:ascii="Times New Roman" w:hAnsi="Times New Roman"/>
          <w:b/>
          <w:color w:val="FF0000"/>
          <w:sz w:val="28"/>
          <w:szCs w:val="28"/>
        </w:rPr>
      </w:r>
    </w:p>
    <w:p>
      <w:pPr>
        <w:pStyle w:val="Normal"/>
        <w:numPr>
          <w:ilvl w:val="0"/>
          <w:numId w:val="0"/>
        </w:numPr>
        <w:spacing w:lineRule="auto" w:line="240" w:before="0" w:after="0"/>
        <w:ind w:hanging="0" w:left="0"/>
        <w:outlineLvl w:val="0"/>
        <w:rPr>
          <w:rFonts w:ascii="Times New Roman" w:hAnsi="Times New Roman"/>
          <w:sz w:val="20"/>
          <w:szCs w:val="20"/>
        </w:rPr>
      </w:pPr>
      <w:r>
        <w:rPr>
          <w:rFonts w:cs="Times New Roman" w:ascii="Times New Roman" w:hAnsi="Times New Roman"/>
          <w:bCs/>
          <w:sz w:val="20"/>
          <w:szCs w:val="20"/>
        </w:rPr>
        <w:t>Исп.: Федосеева Елена Юрьевна</w:t>
      </w:r>
    </w:p>
    <w:p>
      <w:pPr>
        <w:pStyle w:val="Normal"/>
        <w:numPr>
          <w:ilvl w:val="0"/>
          <w:numId w:val="0"/>
        </w:numPr>
        <w:spacing w:lineRule="auto" w:line="240" w:before="0" w:after="0"/>
        <w:ind w:hanging="0" w:left="0"/>
        <w:outlineLvl w:val="0"/>
        <w:rPr>
          <w:rFonts w:ascii="Times New Roman" w:hAnsi="Times New Roman"/>
          <w:sz w:val="20"/>
          <w:szCs w:val="20"/>
        </w:rPr>
      </w:pPr>
      <w:r>
        <w:rPr>
          <w:rFonts w:cs="Times New Roman" w:ascii="Times New Roman" w:hAnsi="Times New Roman"/>
          <w:bCs/>
          <w:sz w:val="20"/>
          <w:szCs w:val="20"/>
        </w:rPr>
        <w:t>Тел.:8(30130)47-124</w:t>
      </w:r>
    </w:p>
    <w:sectPr>
      <w:type w:val="nextPage"/>
      <w:pgSz w:w="11906" w:h="16838"/>
      <w:pgMar w:left="1134" w:right="567" w:gutter="0" w:header="0" w:top="1134" w:footer="0" w:bottom="1139"/>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 w:name="Tahoma">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5c6504"/>
    <w:rPr>
      <w:color w:themeColor="hyperlink" w:val="0000FF"/>
      <w:u w:val="single"/>
    </w:rPr>
  </w:style>
  <w:style w:type="character" w:styleId="Style14" w:customStyle="1">
    <w:name w:val="Гипертекстовая ссылка"/>
    <w:basedOn w:val="DefaultParagraphFont"/>
    <w:uiPriority w:val="99"/>
    <w:qFormat/>
    <w:rsid w:val="00e64194"/>
    <w:rPr>
      <w:rFonts w:cs="Times New Roman"/>
      <w:b w:val="false"/>
      <w:color w:val="106BBE"/>
    </w:rPr>
  </w:style>
  <w:style w:type="character" w:styleId="Style15" w:customStyle="1">
    <w:name w:val="Заголовок Знак"/>
    <w:basedOn w:val="DefaultParagraphFont"/>
    <w:qFormat/>
    <w:rsid w:val="00e64194"/>
    <w:rPr>
      <w:rFonts w:ascii="Times New Roman" w:hAnsi="Times New Roman" w:eastAsia="" w:cs="Times New Roman" w:eastAsiaTheme="minorEastAsia"/>
      <w:b/>
      <w:i/>
      <w:sz w:val="40"/>
      <w:szCs w:val="20"/>
      <w:lang w:eastAsia="ru-RU"/>
    </w:rPr>
  </w:style>
  <w:style w:type="character" w:styleId="Style16" w:customStyle="1">
    <w:name w:val="Текст выноски Знак"/>
    <w:basedOn w:val="DefaultParagraphFont"/>
    <w:link w:val="BalloonText"/>
    <w:uiPriority w:val="99"/>
    <w:semiHidden/>
    <w:qFormat/>
    <w:rsid w:val="00f328da"/>
    <w:rPr>
      <w:rFonts w:ascii="Segoe UI" w:hAnsi="Segoe UI" w:cs="Segoe UI"/>
      <w:sz w:val="18"/>
      <w:szCs w:val="18"/>
    </w:rPr>
  </w:style>
  <w:style w:type="paragraph" w:styleId="Style17">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paragraph" w:styleId="Title">
    <w:name w:val="Title"/>
    <w:basedOn w:val="Normal"/>
    <w:link w:val="Style15"/>
    <w:qFormat/>
    <w:rsid w:val="00e64194"/>
    <w:pPr>
      <w:spacing w:lineRule="auto" w:line="240" w:before="0" w:after="0"/>
      <w:ind w:firstLine="2268"/>
      <w:jc w:val="center"/>
    </w:pPr>
    <w:rPr>
      <w:rFonts w:ascii="Times New Roman" w:hAnsi="Times New Roman" w:cs="Times New Roman"/>
      <w:b/>
      <w:i/>
      <w:sz w:val="40"/>
      <w:szCs w:val="20"/>
    </w:rPr>
  </w:style>
  <w:style w:type="paragraph" w:styleId="ConsPlusNonformat" w:customStyle="1">
    <w:name w:val="ConsPlusNonformat"/>
    <w:qFormat/>
    <w:rsid w:val="00541171"/>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ListParagraph">
    <w:name w:val="List Paragraph"/>
    <w:basedOn w:val="Normal"/>
    <w:uiPriority w:val="34"/>
    <w:qFormat/>
    <w:rsid w:val="00321929"/>
    <w:pPr>
      <w:spacing w:before="0" w:after="200"/>
      <w:ind w:left="720"/>
      <w:contextualSpacing/>
    </w:pPr>
    <w:rPr/>
  </w:style>
  <w:style w:type="paragraph" w:styleId="NormalWeb">
    <w:name w:val="Normal (Web)"/>
    <w:basedOn w:val="Normal"/>
    <w:qFormat/>
    <w:rsid w:val="007e06fb"/>
    <w:pPr>
      <w:spacing w:lineRule="auto" w:line="240" w:beforeAutospacing="1" w:afterAutospacing="1"/>
    </w:pPr>
    <w:rPr>
      <w:rFonts w:ascii="Times New Roman" w:hAnsi="Times New Roman" w:eastAsia="Times New Roman" w:cs="Times New Roman"/>
      <w:sz w:val="24"/>
      <w:szCs w:val="24"/>
    </w:rPr>
  </w:style>
  <w:style w:type="paragraph" w:styleId="ConsPlusNormal" w:customStyle="1">
    <w:name w:val="ConsPlusNormal"/>
    <w:qFormat/>
    <w:rsid w:val="001c0460"/>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PlusTitle" w:customStyle="1">
    <w:name w:val="ConsPlusTitle"/>
    <w:qFormat/>
    <w:rsid w:val="00787e6d"/>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TitlePage" w:customStyle="1">
    <w:name w:val="ConsPlusTitlePage"/>
    <w:qFormat/>
    <w:rsid w:val="00503451"/>
    <w:pPr>
      <w:widowControl w:val="false"/>
      <w:suppressAutoHyphens w:val="true"/>
      <w:bidi w:val="0"/>
      <w:spacing w:lineRule="auto" w:line="240" w:before="0" w:after="0"/>
      <w:jc w:val="left"/>
    </w:pPr>
    <w:rPr>
      <w:rFonts w:ascii="Tahoma" w:hAnsi="Tahoma" w:eastAsia="Times New Roman" w:cs="Tahoma"/>
      <w:color w:val="auto"/>
      <w:kern w:val="0"/>
      <w:sz w:val="20"/>
      <w:szCs w:val="20"/>
      <w:lang w:val="ru-RU" w:eastAsia="ru-RU" w:bidi="ar-SA"/>
    </w:rPr>
  </w:style>
  <w:style w:type="paragraph" w:styleId="BalloonText">
    <w:name w:val="Balloon Text"/>
    <w:basedOn w:val="Normal"/>
    <w:link w:val="Style16"/>
    <w:uiPriority w:val="99"/>
    <w:semiHidden/>
    <w:unhideWhenUsed/>
    <w:qFormat/>
    <w:rsid w:val="00f328da"/>
    <w:pPr>
      <w:spacing w:lineRule="auto" w:line="240" w:before="0" w:after="0"/>
    </w:pPr>
    <w:rPr>
      <w:rFonts w:ascii="Segoe UI" w:hAnsi="Segoe UI" w:cs="Segoe UI"/>
      <w:sz w:val="18"/>
      <w:szCs w:val="18"/>
    </w:rPr>
  </w:style>
  <w:style w:type="paragraph" w:styleId="Style19">
    <w:name w:val="Содержимое врезки"/>
    <w:basedOn w:val="Normal"/>
    <w:qFormat/>
    <w:pPr/>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C3C04-8F1B-45ED-A296-C8E955FE5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Application>LibreOffice/7.6.7.2$Windows_X86_64 LibreOffice_project/dd47e4b30cb7dab30588d6c79c651f218165e3c5</Application>
  <AppVersion>15.0000</AppVersion>
  <Pages>7</Pages>
  <Words>2196</Words>
  <Characters>17214</Characters>
  <CharactersWithSpaces>19574</CharactersWithSpaces>
  <Paragraphs>60</Paragraphs>
  <Company>KottoSOFT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2024-01-15T10:59:00Z</dcterms:created>
  <dc:creator>Шестакова Е</dc:creator>
  <dc:description/>
  <dc:language>ru-RU</dc:language>
  <cp:lastModifiedBy/>
  <cp:lastPrinted>2026-07-02T15:35:40Z</cp:lastPrinted>
  <dcterms:modified xsi:type="dcterms:W3CDTF">2026-07-02T16:45:58Z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